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t xml:space="preserve"/>
      </w:r>
    </w:p>
    <w:p>
      <w:pPr>
        <w:spacing w:after="120" w:before="0"/>
        <w:jc w:val="center"/>
      </w:pPr>
      <w:r>
        <w:rPr>
          <w:rFonts w:ascii="Arial" w:cs="Arial" w:eastAsia="Arial" w:hAnsi="Arial"/>
          <w:b/>
          <w:bCs/>
          <w:color w:val="2563EB"/>
          <w:sz w:val="48"/>
          <w:szCs w:val="48"/>
        </w:rPr>
        <w:t xml:space="preserve">Voluntary Product Accessibility Template</w:t>
      </w:r>
    </w:p>
    <w:p>
      <w:pPr>
        <w:spacing w:after="720" w:before="0"/>
        <w:jc w:val="center"/>
      </w:pPr>
      <w:r>
        <w:rPr>
          <w:rFonts w:ascii="Arial" w:cs="Arial" w:eastAsia="Arial" w:hAnsi="Arial"/>
          <w:b/>
          <w:bCs/>
          <w:color w:val="0F172A"/>
          <w:sz w:val="40"/>
          <w:szCs w:val="40"/>
        </w:rPr>
        <w:t xml:space="preserve">VPAT 2.5 WCAG Edition</w:t>
      </w:r>
    </w:p>
    <w:p>
      <w:pPr>
        <w:spacing w:after="120" w:before="1200"/>
        <w:jc w:val="center"/>
      </w:pPr>
      <w:r>
        <w:rPr>
          <w:rFonts w:ascii="Arial" w:cs="Arial" w:eastAsia="Arial" w:hAnsi="Arial"/>
          <w:b/>
          <w:bCs/>
          <w:color w:val="2563EB"/>
          <w:sz w:val="56"/>
          <w:szCs w:val="56"/>
        </w:rPr>
        <w:t xml:space="preserve">TappHQ</w:t>
      </w:r>
    </w:p>
    <w:p>
      <w:pPr>
        <w:spacing w:after="2400" w:before="0"/>
        <w:jc w:val="center"/>
      </w:pPr>
      <w:r>
        <w:rPr>
          <w:rFonts w:ascii="Arial" w:cs="Arial" w:eastAsia="Arial" w:hAnsi="Arial"/>
          <w:color w:val="475569"/>
          <w:sz w:val="28"/>
          <w:szCs w:val="28"/>
        </w:rPr>
        <w:t xml:space="preserve">A Tapp Network Platform</w:t>
      </w:r>
    </w:p>
    <w:p>
      <w:pPr>
        <w:spacing w:after="60" w:before="0"/>
        <w:jc w:val="center"/>
      </w:pPr>
      <w:r>
        <w:rPr>
          <w:rFonts w:ascii="Arial" w:cs="Arial" w:eastAsia="Arial" w:hAnsi="Arial"/>
          <w:color w:val="0F172A"/>
          <w:sz w:val="24"/>
          <w:szCs w:val="24"/>
        </w:rPr>
        <w:t xml:space="preserve">Version: v0.437.0-alpha</w:t>
      </w:r>
    </w:p>
    <w:p>
      <w:pPr>
        <w:spacing w:after="60" w:before="0"/>
        <w:jc w:val="center"/>
      </w:pPr>
      <w:r>
        <w:rPr>
          <w:rFonts w:ascii="Arial" w:cs="Arial" w:eastAsia="Arial" w:hAnsi="Arial"/>
          <w:color w:val="0F172A"/>
          <w:sz w:val="24"/>
          <w:szCs w:val="24"/>
        </w:rPr>
        <w:t xml:space="preserve">Report Date: April 16, 2026</w:t>
      </w:r>
    </w:p>
    <w:p>
      <w:pPr>
        <w:spacing w:after="0" w:before="0"/>
        <w:jc w:val="center"/>
      </w:pPr>
      <w:r>
        <w:rPr>
          <w:rFonts w:ascii="Arial" w:cs="Arial" w:eastAsia="Arial" w:hAnsi="Arial"/>
          <w:color w:val="0F172A"/>
          <w:sz w:val="24"/>
          <w:szCs w:val="24"/>
        </w:rPr>
        <w:t xml:space="preserve">Contact: compliance@tapphq.com</w:t>
      </w:r>
    </w:p>
    <w:p>
      <w:r>
        <w:br w:type="page"/>
      </w:r>
    </w:p>
    <w:p>
      <w:pPr>
        <w:pStyle w:val="Heading1"/>
        <w:spacing w:after="180" w:before="360"/>
      </w:pPr>
      <w:r>
        <w:rPr>
          <w:rFonts w:ascii="Arial" w:cs="Arial" w:eastAsia="Arial" w:hAnsi="Arial"/>
          <w:b/>
          <w:bCs/>
          <w:color w:val="2563EB"/>
          <w:sz w:val="36"/>
          <w:szCs w:val="36"/>
        </w:rPr>
        <w:t xml:space="preserve">1. Introduction</w:t>
      </w:r>
    </w:p>
    <w:p>
      <w:pPr>
        <w:spacing w:after="60" w:before="60"/>
      </w:pPr>
      <w:r>
        <w:rPr>
          <w:rFonts w:ascii="Arial" w:cs="Arial" w:eastAsia="Arial" w:hAnsi="Arial"/>
          <w:sz w:val="22"/>
          <w:szCs w:val="22"/>
        </w:rPr>
        <w:t xml:space="preserve">This Voluntary Product Accessibility Template (VPAT 2.5, WCAG Edition) documents the conformance of the TappHQ platform with the Web Content Accessibility Guidelines (WCAG) 2.2, Level A and Level AA. It is published by Tapp Network as a standard disclosure to prospective purchasers, procurement teams, and grantmaking bodies evaluating TappHQ for accessibility compliance.</w:t>
      </w:r>
    </w:p>
    <w:p>
      <w:pPr>
        <w:spacing w:after="60" w:before="60"/>
      </w:pPr>
      <w:r>
        <w:rPr>
          <w:rFonts w:ascii="Arial" w:cs="Arial" w:eastAsia="Arial" w:hAnsi="Arial"/>
          <w:sz w:val="22"/>
          <w:szCs w:val="22"/>
        </w:rPr>
        <w:t xml:space="preserve">TappHQ is a multi-tenant operational platform serving nonprofits and small organizations. Accessibility is a design priority, not an afterthought: the platform's foundational accessibility work was completed in A11Y-1 (version 0.240.0), and a comprehensive remediation pass was executed through the WCAG-1 through WCAG-4 session series, shipped as v0.437.0-alpha (April 16, 2026). Ongoing enforcement is handled by CI-integrated automated tests (Vitest jest-axe component tests and Playwright axe-core end-to-end tests) and by the accessibility-guardian agent, which blocks code changes that introduce six categories of accessibility regression at commit time.</w:t>
      </w:r>
    </w:p>
    <w:p>
      <w:pPr>
        <w:spacing w:after="60" w:before="60"/>
      </w:pPr>
      <w:r>
        <w:rPr>
          <w:rFonts w:ascii="Arial" w:cs="Arial" w:eastAsia="Arial" w:hAnsi="Arial"/>
          <w:sz w:val="22"/>
          <w:szCs w:val="22"/>
        </w:rPr>
        <w:t xml:space="preserve">This report is produced under the Voluntary Product Accessibility Template (VPAT) 2.5 format published by the Information Technology Industry Council (ITI). It does not constitute a legal opinion or a warranty of fitness for any particular accessibility standard. It is a good-faith accounting of the product's conformance at the time of reporting.</w:t>
      </w:r>
    </w:p>
    <w:p>
      <w:pPr>
        <w:pStyle w:val="Heading1"/>
        <w:spacing w:after="180" w:before="360"/>
      </w:pPr>
      <w:r>
        <w:rPr>
          <w:rFonts w:ascii="Arial" w:cs="Arial" w:eastAsia="Arial" w:hAnsi="Arial"/>
          <w:b/>
          <w:bCs/>
          <w:color w:val="2563EB"/>
          <w:sz w:val="36"/>
          <w:szCs w:val="36"/>
        </w:rPr>
        <w:t xml:space="preserve">2. Product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BD5E1" w:sz="4"/>
              <w:left w:val="single" w:color="CBD5E1" w:sz="4"/>
              <w:bottom w:val="single" w:color="CBD5E1" w:sz="4"/>
              <w:right w:val="single" w:color="CBD5E1" w:sz="4"/>
            </w:tcBorders>
            <w:shd w:fill="E2E8F0" w:val="clear"/>
            <w:tcMar>
              <w:top w:type="dxa" w:w="100"/>
              <w:left w:type="dxa" w:w="140"/>
              <w:bottom w:type="dxa" w:w="100"/>
              <w:right w:type="dxa" w:w="140"/>
            </w:tcMar>
            <w:vAlign w:val="top"/>
          </w:tcPr>
          <w:p>
            <w:pPr>
              <w:jc w:val="left"/>
            </w:pPr>
            <w:r>
              <w:rPr>
                <w:rFonts w:ascii="Arial" w:cs="Arial" w:eastAsia="Arial" w:hAnsi="Arial"/>
                <w:b/>
                <w:bCs/>
                <w:sz w:val="20"/>
                <w:szCs w:val="20"/>
              </w:rPr>
              <w:t xml:space="preserve">Name of Product/Version</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TappHQ — v0.437.0-alpha (post-WCAG remediation)</w:t>
            </w:r>
          </w:p>
        </w:tc>
      </w:tr>
      <w:tr>
        <w:tc>
          <w:tcPr>
            <w:tcW w:type="dxa" w:w="2600"/>
            <w:tcBorders>
              <w:top w:val="single" w:color="CBD5E1" w:sz="4"/>
              <w:left w:val="single" w:color="CBD5E1" w:sz="4"/>
              <w:bottom w:val="single" w:color="CBD5E1" w:sz="4"/>
              <w:right w:val="single" w:color="CBD5E1" w:sz="4"/>
            </w:tcBorders>
            <w:shd w:fill="E2E8F0" w:val="clear"/>
            <w:tcMar>
              <w:top w:type="dxa" w:w="100"/>
              <w:left w:type="dxa" w:w="140"/>
              <w:bottom w:type="dxa" w:w="100"/>
              <w:right w:type="dxa" w:w="140"/>
            </w:tcMar>
            <w:vAlign w:val="top"/>
          </w:tcPr>
          <w:p>
            <w:pPr>
              <w:jc w:val="left"/>
            </w:pPr>
            <w:r>
              <w:rPr>
                <w:rFonts w:ascii="Arial" w:cs="Arial" w:eastAsia="Arial" w:hAnsi="Arial"/>
                <w:b/>
                <w:bCs/>
                <w:sz w:val="20"/>
                <w:szCs w:val="20"/>
              </w:rPr>
              <w:t xml:space="preserve">Product Description</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 multi-tenant SaaS operations platform for nonprofits and small organizations. Covers 12 branded modules: SiteHQ (managed websites + monitoring), ComplianceHQ (credentials, calendar, legal, assets, offboarding, board directory), PeopleHQ (HR + job posting), GrantsHQ (grants engine + funding intelligence), ContentHQ (brand + content AI), FinanceHQ (financial health + budget planning + funder reports), SupportHQ (helpdesk + stakeholder portals), GrowthHQ (assessments + donor pipeline + campaign analytics), AgentHQ (AI agent builder + Ask Tappy), LearningHQ (LMS), plus cross-cutting infrastructure (Universal Search, Mission Control, EOS/OKR tracking, recurring reports, board portals).</w:t>
            </w:r>
          </w:p>
        </w:tc>
      </w:tr>
      <w:tr>
        <w:tc>
          <w:tcPr>
            <w:tcW w:type="dxa" w:w="2600"/>
            <w:tcBorders>
              <w:top w:val="single" w:color="CBD5E1" w:sz="4"/>
              <w:left w:val="single" w:color="CBD5E1" w:sz="4"/>
              <w:bottom w:val="single" w:color="CBD5E1" w:sz="4"/>
              <w:right w:val="single" w:color="CBD5E1" w:sz="4"/>
            </w:tcBorders>
            <w:shd w:fill="E2E8F0" w:val="clear"/>
            <w:tcMar>
              <w:top w:type="dxa" w:w="100"/>
              <w:left w:type="dxa" w:w="140"/>
              <w:bottom w:type="dxa" w:w="100"/>
              <w:right w:type="dxa" w:w="140"/>
            </w:tcMar>
            <w:vAlign w:val="top"/>
          </w:tcPr>
          <w:p>
            <w:pPr>
              <w:jc w:val="left"/>
            </w:pPr>
            <w:r>
              <w:rPr>
                <w:rFonts w:ascii="Arial" w:cs="Arial" w:eastAsia="Arial" w:hAnsi="Arial"/>
                <w:b/>
                <w:bCs/>
                <w:sz w:val="20"/>
                <w:szCs w:val="20"/>
              </w:rPr>
              <w:t xml:space="preserve">Date</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April 16, 2026</w:t>
            </w:r>
          </w:p>
        </w:tc>
      </w:tr>
      <w:tr>
        <w:tc>
          <w:tcPr>
            <w:tcW w:type="dxa" w:w="2600"/>
            <w:tcBorders>
              <w:top w:val="single" w:color="CBD5E1" w:sz="4"/>
              <w:left w:val="single" w:color="CBD5E1" w:sz="4"/>
              <w:bottom w:val="single" w:color="CBD5E1" w:sz="4"/>
              <w:right w:val="single" w:color="CBD5E1" w:sz="4"/>
            </w:tcBorders>
            <w:shd w:fill="E2E8F0" w:val="clear"/>
            <w:tcMar>
              <w:top w:type="dxa" w:w="100"/>
              <w:left w:type="dxa" w:w="140"/>
              <w:bottom w:type="dxa" w:w="100"/>
              <w:right w:type="dxa" w:w="140"/>
            </w:tcMar>
            <w:vAlign w:val="top"/>
          </w:tcPr>
          <w:p>
            <w:pPr>
              <w:jc w:val="left"/>
            </w:pPr>
            <w:r>
              <w:rPr>
                <w:rFonts w:ascii="Arial" w:cs="Arial" w:eastAsia="Arial" w:hAnsi="Arial"/>
                <w:b/>
                <w:bCs/>
                <w:sz w:val="20"/>
                <w:szCs w:val="20"/>
              </w:rPr>
              <w:t xml:space="preserve">Contact Information</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Compliance Team, Tapp Network</w:t>
            </w:r>
          </w:p>
          <w:p>
            <w:pPr>
              <w:spacing w:after="0" w:before="40"/>
            </w:pPr>
            <w:r>
              <w:rPr>
                <w:rFonts w:ascii="Arial" w:cs="Arial" w:eastAsia="Arial" w:hAnsi="Arial"/>
                <w:sz w:val="20"/>
                <w:szCs w:val="20"/>
              </w:rPr>
              <w:t xml:space="preserve">compliance@tapphq.com</w:t>
            </w:r>
          </w:p>
        </w:tc>
      </w:tr>
      <w:tr>
        <w:tc>
          <w:tcPr>
            <w:tcW w:type="dxa" w:w="2600"/>
            <w:tcBorders>
              <w:top w:val="single" w:color="CBD5E1" w:sz="4"/>
              <w:left w:val="single" w:color="CBD5E1" w:sz="4"/>
              <w:bottom w:val="single" w:color="CBD5E1" w:sz="4"/>
              <w:right w:val="single" w:color="CBD5E1" w:sz="4"/>
            </w:tcBorders>
            <w:shd w:fill="E2E8F0" w:val="clear"/>
            <w:tcMar>
              <w:top w:type="dxa" w:w="100"/>
              <w:left w:type="dxa" w:w="140"/>
              <w:bottom w:type="dxa" w:w="100"/>
              <w:right w:type="dxa" w:w="140"/>
            </w:tcMar>
            <w:vAlign w:val="top"/>
          </w:tcPr>
          <w:p>
            <w:pPr>
              <w:jc w:val="left"/>
            </w:pPr>
            <w:r>
              <w:rPr>
                <w:rFonts w:ascii="Arial" w:cs="Arial" w:eastAsia="Arial" w:hAnsi="Arial"/>
                <w:b/>
                <w:bCs/>
                <w:sz w:val="20"/>
                <w:szCs w:val="20"/>
              </w:rPr>
              <w:t xml:space="preserve">Notes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This report documents conformance of the TappHQ platform interface (dashboard and marketing site). User-uploaded content and integrations with third-party services (Clerk, Stripe, Recharts) are noted where they affect conformance evaluation. Interactive widgets built on third-party libraries (React Flow, react-grid-layout) have known keyboard-navigation limitations disclosed under SC 2.1.1, SC 2.5.7, and in the Known Limitations section.</w:t>
            </w:r>
          </w:p>
        </w:tc>
      </w:tr>
      <w:tr>
        <w:tc>
          <w:tcPr>
            <w:tcW w:type="dxa" w:w="2600"/>
            <w:tcBorders>
              <w:top w:val="single" w:color="CBD5E1" w:sz="4"/>
              <w:left w:val="single" w:color="CBD5E1" w:sz="4"/>
              <w:bottom w:val="single" w:color="CBD5E1" w:sz="4"/>
              <w:right w:val="single" w:color="CBD5E1" w:sz="4"/>
            </w:tcBorders>
            <w:shd w:fill="E2E8F0" w:val="clear"/>
            <w:tcMar>
              <w:top w:type="dxa" w:w="100"/>
              <w:left w:type="dxa" w:w="140"/>
              <w:bottom w:type="dxa" w:w="100"/>
              <w:right w:type="dxa" w:w="140"/>
            </w:tcMar>
            <w:vAlign w:val="top"/>
          </w:tcPr>
          <w:p>
            <w:pPr>
              <w:jc w:val="left"/>
            </w:pPr>
            <w:r>
              <w:rPr>
                <w:rFonts w:ascii="Arial" w:cs="Arial" w:eastAsia="Arial" w:hAnsi="Arial"/>
                <w:b/>
                <w:bCs/>
                <w:sz w:val="20"/>
                <w:szCs w:val="20"/>
              </w:rPr>
              <w:t xml:space="preserve">Evaluation Methods Used</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Automated testing via axe-core (Playwright E2E and Vitest jest-axe component tests), manual keyboard navigation testing, manual screen reader spot checks, heading hierarchy grep-based audit, color contrast verification, and CI enforcement via the accessibility-guardian agent with six BLOCK rules.</w:t>
            </w:r>
          </w:p>
        </w:tc>
      </w:tr>
    </w:tbl>
    <w:p>
      <w:pPr>
        <w:pStyle w:val="Heading1"/>
        <w:spacing w:after="180" w:before="360"/>
      </w:pPr>
      <w:r>
        <w:rPr>
          <w:rFonts w:ascii="Arial" w:cs="Arial" w:eastAsia="Arial" w:hAnsi="Arial"/>
          <w:b/>
          <w:bCs/>
          <w:color w:val="2563EB"/>
          <w:sz w:val="36"/>
          <w:szCs w:val="36"/>
        </w:rPr>
        <w:t xml:space="preserve">3. Applicable Standards and Guidelines</w:t>
      </w:r>
    </w:p>
    <w:p>
      <w:pPr>
        <w:spacing w:after="60" w:before="60"/>
      </w:pPr>
      <w:r>
        <w:rPr>
          <w:rFonts w:ascii="Arial" w:cs="Arial" w:eastAsia="Arial" w:hAnsi="Arial"/>
          <w:sz w:val="22"/>
          <w:szCs w:val="22"/>
        </w:rPr>
        <w:t xml:space="preserve">This report addresses conformance to WCAG 2.2 Level A and Level AA only. Level AAA, the Revised Section 508 standards (US), and EN 301 549 (European Union) have not been evaluated in this report.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00"/>
        <w:gridCol w:w="4760"/>
      </w:tblGrid>
      <w:tr>
        <w:trPr>
          <w:tblHeader/>
        </w:trPr>
        <w:tc>
          <w:tcPr>
            <w:tcW w:type="dxa" w:w="460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top"/>
          </w:tcPr>
          <w:p>
            <w:pPr>
              <w:jc w:val="left"/>
            </w:pPr>
            <w:r>
              <w:rPr>
                <w:rFonts w:ascii="Arial" w:cs="Arial" w:eastAsia="Arial" w:hAnsi="Arial"/>
                <w:b/>
                <w:bCs/>
                <w:color w:val="FFFFFF"/>
                <w:sz w:val="20"/>
                <w:szCs w:val="20"/>
              </w:rPr>
              <w:t xml:space="preserve">Applicable Standards / Guidelines</w:t>
            </w:r>
          </w:p>
        </w:tc>
        <w:tc>
          <w:tcPr>
            <w:tcW w:type="dxa" w:w="476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top"/>
          </w:tcPr>
          <w:p>
            <w:pPr>
              <w:jc w:val="left"/>
            </w:pPr>
            <w:r>
              <w:rPr>
                <w:rFonts w:ascii="Arial" w:cs="Arial" w:eastAsia="Arial" w:hAnsi="Arial"/>
                <w:b/>
                <w:bCs/>
                <w:color w:val="FFFFFF"/>
                <w:sz w:val="20"/>
                <w:szCs w:val="20"/>
              </w:rPr>
              <w:t xml:space="preserve"/>
            </w:r>
          </w:p>
        </w:tc>
      </w:tr>
      <w:tr>
        <w:trPr>
          <w:tblHeader w:val="false"/>
        </w:trPr>
        <w:tc>
          <w:tcPr>
            <w:tcW w:type="dxa" w:w="46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Web Content Accessibility Guidelines 2.2</w:t>
            </w:r>
          </w:p>
        </w:tc>
        <w:tc>
          <w:tcPr>
            <w:tcW w:type="dxa" w:w="476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Level A and Level AA — Included</w:t>
            </w:r>
          </w:p>
        </w:tc>
      </w:tr>
      <w:tr>
        <w:trPr>
          <w:tblHeader w:val="false"/>
        </w:trPr>
        <w:tc>
          <w:tcPr>
            <w:tcW w:type="dxa" w:w="46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Web Content Accessibility Guidelines 2.2</w:t>
            </w:r>
          </w:p>
        </w:tc>
        <w:tc>
          <w:tcPr>
            <w:tcW w:type="dxa" w:w="476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Level AAA — Not evaluated</w:t>
            </w:r>
          </w:p>
        </w:tc>
      </w:tr>
      <w:tr>
        <w:trPr>
          <w:tblHeader w:val="false"/>
        </w:trPr>
        <w:tc>
          <w:tcPr>
            <w:tcW w:type="dxa" w:w="46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Revised Section 508 standards</w:t>
            </w:r>
          </w:p>
        </w:tc>
        <w:tc>
          <w:tcPr>
            <w:tcW w:type="dxa" w:w="476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Not evaluated in this report</w:t>
            </w:r>
          </w:p>
        </w:tc>
      </w:tr>
      <w:tr>
        <w:trPr>
          <w:tblHeader w:val="false"/>
        </w:trPr>
        <w:tc>
          <w:tcPr>
            <w:tcW w:type="dxa" w:w="46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EN 301 549</w:t>
            </w:r>
          </w:p>
        </w:tc>
        <w:tc>
          <w:tcPr>
            <w:tcW w:type="dxa" w:w="476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sz w:val="20"/>
                <w:szCs w:val="20"/>
              </w:rPr>
              <w:t xml:space="preserve">Not evaluated in this report</w:t>
            </w:r>
          </w:p>
        </w:tc>
      </w:tr>
    </w:tbl>
    <w:p>
      <w:pPr>
        <w:pStyle w:val="Heading1"/>
        <w:spacing w:after="180" w:before="360"/>
      </w:pPr>
      <w:r>
        <w:rPr>
          <w:rFonts w:ascii="Arial" w:cs="Arial" w:eastAsia="Arial" w:hAnsi="Arial"/>
          <w:b/>
          <w:bCs/>
          <w:color w:val="2563EB"/>
          <w:sz w:val="36"/>
          <w:szCs w:val="36"/>
        </w:rPr>
        <w:t xml:space="preserve">4. Terms</w:t>
      </w:r>
    </w:p>
    <w:p>
      <w:pPr>
        <w:spacing w:after="60" w:before="60"/>
      </w:pPr>
      <w:r>
        <w:rPr>
          <w:rFonts w:ascii="Arial" w:cs="Arial" w:eastAsia="Arial" w:hAnsi="Arial"/>
          <w:sz w:val="22"/>
          <w:szCs w:val="22"/>
        </w:rPr>
        <w:t xml:space="preserve">The following conformance levels are used in Table 5 (WCAG 2.2 Report):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center"/>
          </w:tcPr>
          <w:p>
            <w:pPr>
              <w:jc w:val="left"/>
            </w:pPr>
            <w:r>
              <w:rPr>
                <w:rFonts w:ascii="Arial" w:cs="Arial" w:eastAsia="Arial" w:hAnsi="Arial"/>
                <w:b/>
                <w:bCs/>
                <w:color w:val="FFFFFF"/>
                <w:sz w:val="22"/>
                <w:szCs w:val="22"/>
              </w:rPr>
              <w:t xml:space="preserve">Term</w:t>
            </w:r>
          </w:p>
        </w:tc>
        <w:tc>
          <w:tcPr>
            <w:tcW w:type="dxa" w:w="696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center"/>
          </w:tcPr>
          <w:p>
            <w:pPr>
              <w:jc w:val="left"/>
            </w:pPr>
            <w:r>
              <w:rPr>
                <w:rFonts w:ascii="Arial" w:cs="Arial" w:eastAsia="Arial" w:hAnsi="Arial"/>
                <w:b/>
                <w:bCs/>
                <w:color w:val="FFFFFF"/>
                <w:sz w:val="22"/>
                <w:szCs w:val="22"/>
              </w:rPr>
              <w:t xml:space="preserve">Definition</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bCs/>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The functionality of the product has at least one method that meets the criterion without known defects or meets with equivalent facilitation.</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bCs/>
                <w:sz w:val="20"/>
                <w:szCs w:val="20"/>
              </w:rPr>
              <w:t xml:space="preserve">Partially 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Some functionality of the product does not meet the criterion.</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bCs/>
                <w:sz w:val="20"/>
                <w:szCs w:val="20"/>
              </w:rPr>
              <w:t xml:space="preserve">Does Not Support</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The majority of product functionality does not meet the criterion.</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bCs/>
                <w:sz w:val="20"/>
                <w:szCs w:val="20"/>
              </w:rPr>
              <w:t xml:space="preserve">Not Applicable</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The criterion is not relevant to the product.</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bCs/>
                <w:sz w:val="20"/>
                <w:szCs w:val="20"/>
              </w:rPr>
              <w:t xml:space="preserve">Not Evaluated</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The product has not been evaluated against the criterion. This term may be used only in reports on WCAG 2.x Level AAA criteria.</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bCs/>
                <w:sz w:val="20"/>
                <w:szCs w:val="20"/>
              </w:rPr>
              <w:t xml:space="preserve">Obsolete in WCAG 2.2</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The criterion was removed from WCAG 2.2. Reported here for documentary completeness only; no evaluation required.</w:t>
            </w:r>
          </w:p>
        </w:tc>
      </w:tr>
    </w:tbl>
    <w:p>
      <w:r>
        <w:br w:type="page"/>
      </w:r>
    </w:p>
    <w:p>
      <w:pPr>
        <w:pStyle w:val="Heading1"/>
        <w:spacing w:after="180" w:before="360"/>
      </w:pPr>
      <w:r>
        <w:rPr>
          <w:rFonts w:ascii="Arial" w:cs="Arial" w:eastAsia="Arial" w:hAnsi="Arial"/>
          <w:b/>
          <w:bCs/>
          <w:color w:val="2563EB"/>
          <w:sz w:val="36"/>
          <w:szCs w:val="36"/>
        </w:rPr>
        <w:t xml:space="preserve">5. WCAG 2.2 Report</w:t>
      </w:r>
    </w:p>
    <w:p>
      <w:pPr>
        <w:spacing w:after="60" w:before="60"/>
      </w:pPr>
      <w:r>
        <w:rPr>
          <w:rFonts w:ascii="Arial" w:cs="Arial" w:eastAsia="Arial" w:hAnsi="Arial"/>
          <w:sz w:val="22"/>
          <w:szCs w:val="22"/>
        </w:rPr>
        <w:t xml:space="preserve">This table documents conformance with each WCAG 2.2 Level A and Level AA success criterion. Criteria are grouped by principle (Perceivable, Operable, Understandable, Robust). Where conformance is Partially Supports or Not Applicable, the remarks column explains the specific condition.</w:t>
      </w:r>
    </w:p>
    <w:p>
      <w:pPr>
        <w:spacing w:after="180" w:before="60"/>
      </w:pPr>
      <w:r>
        <w:rPr>
          <w:rFonts w:ascii="Arial" w:cs="Arial" w:eastAsia="Arial" w:hAnsi="Arial"/>
          <w:i/>
          <w:iCs/>
          <w:sz w:val="22"/>
          <w:szCs w:val="22"/>
        </w:rPr>
        <w:t xml:space="preserve">Automated testing with axe-core covers approximately 30 to 35 of the 52 Level A and Level AA criteria. The remainder (primarily criteria dependent on semantic judgment, media content, or cognitive workload) were evaluated by manual inspection or are marked Not Applicable where the platform does not produce content triggering the criterion.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900"/>
        <w:gridCol w:w="1700"/>
        <w:gridCol w:w="4360"/>
      </w:tblGrid>
      <w:tr>
        <w:trPr>
          <w:tblHeader/>
        </w:trPr>
        <w:tc>
          <w:tcPr>
            <w:tcW w:type="dxa" w:w="240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center"/>
          </w:tcPr>
          <w:p>
            <w:pPr>
              <w:jc w:val="left"/>
            </w:pPr>
            <w:r>
              <w:rPr>
                <w:rFonts w:ascii="Arial" w:cs="Arial" w:eastAsia="Arial" w:hAnsi="Arial"/>
                <w:b/>
                <w:bCs/>
                <w:color w:val="FFFFFF"/>
                <w:sz w:val="22"/>
                <w:szCs w:val="22"/>
              </w:rPr>
              <w:t xml:space="preserve">Criteria</w:t>
            </w:r>
          </w:p>
        </w:tc>
        <w:tc>
          <w:tcPr>
            <w:tcW w:type="dxa" w:w="90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Level</w:t>
            </w:r>
          </w:p>
        </w:tc>
        <w:tc>
          <w:tcPr>
            <w:tcW w:type="dxa" w:w="170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center"/>
          </w:tcPr>
          <w:p>
            <w:pPr>
              <w:jc w:val="left"/>
            </w:pPr>
            <w:r>
              <w:rPr>
                <w:rFonts w:ascii="Arial" w:cs="Arial" w:eastAsia="Arial" w:hAnsi="Arial"/>
                <w:b/>
                <w:bCs/>
                <w:color w:val="FFFFFF"/>
                <w:sz w:val="22"/>
                <w:szCs w:val="22"/>
              </w:rPr>
              <w:t xml:space="preserve">Conformance Level</w:t>
            </w:r>
          </w:p>
        </w:tc>
        <w:tc>
          <w:tcPr>
            <w:tcW w:type="dxa" w:w="4360"/>
            <w:tcBorders>
              <w:top w:val="single" w:color="CBD5E1" w:sz="4"/>
              <w:left w:val="single" w:color="CBD5E1" w:sz="4"/>
              <w:bottom w:val="single" w:color="CBD5E1" w:sz="4"/>
              <w:right w:val="single" w:color="CBD5E1" w:sz="4"/>
            </w:tcBorders>
            <w:shd w:fill="1E293B" w:val="clear"/>
            <w:tcMar>
              <w:top w:type="dxa" w:w="100"/>
              <w:left w:type="dxa" w:w="140"/>
              <w:bottom w:type="dxa" w:w="100"/>
              <w:right w:type="dxa" w:w="140"/>
            </w:tcMar>
            <w:vAlign w:val="center"/>
          </w:tcPr>
          <w:p>
            <w:pPr>
              <w:jc w:val="left"/>
            </w:pPr>
            <w:r>
              <w:rPr>
                <w:rFonts w:ascii="Arial" w:cs="Arial" w:eastAsia="Arial" w:hAnsi="Arial"/>
                <w:b/>
                <w:bCs/>
                <w:color w:val="FFFFFF"/>
                <w:sz w:val="22"/>
                <w:szCs w:val="22"/>
              </w:rPr>
              <w:t xml:space="preserve">Remarks and Explanations</w:t>
            </w:r>
          </w:p>
        </w:tc>
      </w:tr>
      <w:tr>
        <w:tc>
          <w:tcPr>
            <w:tcW w:type="dxa" w:w="9360"/>
            <w:gridSpan w:val="4"/>
            <w:tcBorders>
              <w:top w:val="single" w:color="CBD5E1" w:sz="4"/>
              <w:left w:val="single" w:color="CBD5E1" w:sz="4"/>
              <w:bottom w:val="single" w:color="CBD5E1" w:sz="4"/>
              <w:right w:val="single" w:color="CBD5E1" w:sz="4"/>
            </w:tcBorders>
            <w:shd w:fill="E2E8F0" w:val="clear"/>
            <w:tcMar>
              <w:top w:type="dxa" w:w="120"/>
              <w:left w:type="dxa" w:w="140"/>
              <w:bottom w:type="dxa" w:w="120"/>
              <w:right w:type="dxa" w:w="140"/>
            </w:tcMar>
          </w:tcPr>
          <w:p>
            <w:r>
              <w:rPr>
                <w:rFonts w:ascii="Arial" w:cs="Arial" w:eastAsia="Arial" w:hAnsi="Arial"/>
                <w:b/>
                <w:bCs/>
                <w:color w:val="0F172A"/>
                <w:sz w:val="24"/>
                <w:szCs w:val="24"/>
              </w:rPr>
              <w:t xml:space="preserve">Principle 1: Perceivable</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1.1.1 Non-text Content</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All informational images require alt text, enforced by the accessibility-guardian agent (BLOCK rule). Decorative Lucide icons use aria-hidden="true". Icon-only buttons carry aria-label describing the action. Logos include descriptive alt text. User-uploaded images inherit the alt text provided by the uploading user.</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1.2.1 Audio-only and Video-only (Prerecorded)</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64748B"/>
                <w:sz w:val="20"/>
                <w:szCs w:val="20"/>
              </w:rPr>
              <w:t xml:space="preserve">Not Applicable</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TappHQ does not ship prerecorded audio-only or video-only content as part of the platform interface. User-uploaded media (e.g., to Brand Library, Content Studio, LMS course content) is the responsibility of the uploading organization under its own accessibility obligations.</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1.2.2 Captions (Prerecorded)</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64748B"/>
                <w:sz w:val="20"/>
                <w:szCs w:val="20"/>
              </w:rPr>
              <w:t xml:space="preserve">Not Applicable</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ships no prerecorded video content requiring captions. User-uploaded video is the responsibility of the uploading organization.</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1.2.3 Audio Description or Media Alternative (Prerecorded)</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64748B"/>
                <w:sz w:val="20"/>
                <w:szCs w:val="20"/>
              </w:rPr>
              <w:t xml:space="preserve">Not Applicable</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ships no prerecorded video content requiring audio descriptions.</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1.2.4 Captions (Live)</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64748B"/>
                <w:sz w:val="20"/>
                <w:szCs w:val="20"/>
              </w:rPr>
              <w:t xml:space="preserve">Not Applicable</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ships no live audio or video content.</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1.2.5 Audio Description (Prerecorded)</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64748B"/>
                <w:sz w:val="20"/>
                <w:szCs w:val="20"/>
              </w:rPr>
              <w:t xml:space="preserve">Not Applicable</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ships no prerecorded video content requiring audio descriptions.</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1.3.1 Info and Relationships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Semantic HTML used throughout. Data tables include &lt;thead&gt;, scope="col" on every &lt;th&gt;, &lt;caption class="sr-only"&gt; with meaningful description, and aria-label at the &lt;table&gt; level (canonical pattern established in PERM-3, propagated across all HQ modules in WCAG-3). Form fields are programmatically associated with their labels via Shadcn FormField or explicit htmlFor/id pairings. Landmark regions (&lt;header&gt;, &lt;main&gt;, &lt;nav&gt;, &lt;footer&gt;) present on every dashboard and marketing page.</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1.3.2 Meaningful Sequence</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DOM order matches visual reading order across all layouts. Flexbox and grid layouts preserve programmatic sequence without relying on visual-only ordering.</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1.3.3 Sensory Characteristics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Instructions combine text labels with icons, position, and color. No instruction relies on shape, color, or spatial position alone.</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1.3.4 Orientation</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supports both portrait and landscape orientations on all devices. No orientation constraint is enforced by CSS or JavaScript.</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1.3.5 Identify Input Purpose</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Personal data form fields carry autocomplete attributes per the WCAG 2.2 input purpose taxonomy: name, email, tel, street-address, address-level2, address-level1, postal-code, organization. Applied to profile, settings, contact, and onboarding forms in WCAG-2.</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1.4.1 Use of Color</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Color is never the sole means of conveying information. Status indicators combine color with an icon and a text label. Error states include text messages in addition to red coloring. Tier chips combine color with capitalized tier name text.</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1.4.2 Audio Control</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64748B"/>
                <w:sz w:val="20"/>
                <w:szCs w:val="20"/>
              </w:rPr>
              <w:t xml:space="preserve">Not Applicable</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does not autoplay audio content.</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1.4.3 Contrast (Minimum)</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Primary body text meets 4.5:1 contrast against background. Large text and bold text meet 3:1. Tier chips and status badges were upgraded in PERM-3 from 700-weight to 800-weight text on 100-weight backgrounds (bg-green-100/text-green-800, bg-blue-100/text-blue-800, bg-purple-100/text-purple-800, bg-orange-100/text-orange-800, bg-red-100/text-red-800) and documented in STYLE_GUIDE.md in WCAG-1. All dashboard and marketing pages pass axe-core contrast checks in the post-remediation audit.</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1.4.4 Resize Text</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All text uses rem and em units (Tailwind utilities). Layouts reflow to 200 percent zoom without loss of functionality or content. Tested against default browser zoom controls.</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1.4.5 Images of Text</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does not use images of text except for brand logos (the Tapp Network logo and the TappHQ wordmark), which are exempt per WCAG 2.2.</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1.4.10 Reflow</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Responsive layouts reflow at 320 CSS pixels wide without horizontal scrolling or loss of functionality. Data tables scroll horizontally within their container on narrow viewports; the rest of the UI adapts to a single-column layout on mobile.</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1.4.11 Non-text Contrast</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The --border and --input CSS variables were darkened in WCAG-2 from oklch(0.905 0.005 247) to oklch(0.82 0.008 247) to meet 3:1 contrast against the background. The --sidebar-border variable was adjusted to match. Dark mode border opacity was raised from 8 percent to 16 percent. Focus ring color uses the --ring variable which meets 3:1 against both --background and the focused element.</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1.4.12 Text Spacing</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Tailwind utility classes accommodate user-overridden line height (1.5x), paragraph spacing (2x), letter spacing (0.12x), and word spacing (0.16x) without loss of content or functionality.</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1.4.13 Content on Hover or Focus</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Shadcn Tooltip (built on base-ui primitives) supports Escape key dismissal, allows pointer movement into tooltip content without dismissal, and persists until the user dismisses. Verified in WCAG-3.</w:t>
            </w:r>
          </w:p>
        </w:tc>
      </w:tr>
      <w:tr>
        <w:tc>
          <w:tcPr>
            <w:tcW w:type="dxa" w:w="9360"/>
            <w:gridSpan w:val="4"/>
            <w:tcBorders>
              <w:top w:val="single" w:color="CBD5E1" w:sz="4"/>
              <w:left w:val="single" w:color="CBD5E1" w:sz="4"/>
              <w:bottom w:val="single" w:color="CBD5E1" w:sz="4"/>
              <w:right w:val="single" w:color="CBD5E1" w:sz="4"/>
            </w:tcBorders>
            <w:shd w:fill="E2E8F0" w:val="clear"/>
            <w:tcMar>
              <w:top w:type="dxa" w:w="120"/>
              <w:left w:type="dxa" w:w="140"/>
              <w:bottom w:type="dxa" w:w="120"/>
              <w:right w:type="dxa" w:w="140"/>
            </w:tcMar>
          </w:tcPr>
          <w:p>
            <w:r>
              <w:rPr>
                <w:rFonts w:ascii="Arial" w:cs="Arial" w:eastAsia="Arial" w:hAnsi="Arial"/>
                <w:b/>
                <w:bCs/>
                <w:color w:val="0F172A"/>
                <w:sz w:val="24"/>
                <w:szCs w:val="24"/>
              </w:rPr>
              <w:t xml:space="preserve">Principle 2: Operable</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2.1.1 Keyboard</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bCs/>
                <w:color w:val="B45309"/>
                <w:sz w:val="20"/>
                <w:szCs w:val="20"/>
              </w:rPr>
              <w:t xml:space="preserve">Partially 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All standard UI components (buttons, links, forms, tabs, dialogs, sheets, menus, tables) operate fully via keyboard. Known limitations: (a) React Flow canvases used in Agent Builder, Workflow Builder, and Logic Model Editor are focusable with tabIndex=0 and aria-label, and support React Flow's built-in keyboard shortcuts, but do not expose full keyboard-based node selection and editing; custom arrow-key navigation was intentionally not implemented. (b) react-grid-layout (Mission Control widget reordering) provides focus on widgets and aria-label on each widget card, but drag-to-reorder is pointer-only; the library does not provide a keyboard alternative for repositioning. Both limitations are documented to users in the Accessibility Guide.</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2.1.2 No Keyboard Trap</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Modal dialogs and sheets trap focus within the overlay while open, via base-ui focus management. All overlays are dismissible with the Escape key. Focus returns to the triggering element on close.</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2.1.4 Character Key Shortcuts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does not implement single-character keyboard shortcuts outside of standard modifier-key combinations. Ask Tappy command palette uses Cmd/Ctrl+K which is a modified shortcut, exempt from this criterion.</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2.2.1 Timing Adjustable</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does not impose time limits on user-initiated actions. Session timeouts are managed by Clerk (third-party authentication provider) with standard re-authentication flows; no action is lost due to session expiration because form data is held client-side and can be re-submitted after re-auth.</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2.2.2 Pause, Stop, Hide</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All animations respect prefers-reduced-motion. A platform-wide @media (prefers-reduced-motion: reduce) override in globals.css (added in WCAG-4) sets animation-duration and transition-duration to 0.01ms and iteration count to 1 across all components. Loading spinners and pulse animations render final state without motion when reduced motion is active. A scoped override for .react-grid-item disables transform transitions for the Mission Control grid.</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2.3.1 Three Flashes or Below Threshold</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does not use flashing content. No component flashes more than three times per second.</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2.4.1 Bypass Blocks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Skip-navigation links are present in both the marketing layout and the dashboard layout (foundational work from A11Y-1, v0.240.0). Landmark regions (&lt;header&gt;, &lt;nav&gt;, &lt;main&gt;, &lt;footer&gt;) allow assistive technology users to navigate directly to primary content.</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2.4.2 Page Titled</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Every page sets a descriptive &lt;title&gt; via Next.js metadata API. Page titles include the feature context followed by the product name (e.g., "Grant Applications — TappHQ").</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2.4.3 Focus Order</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Tab order matches visual reading order throughout the platform. Verified in WCAG-3 for sidebar collapse and expand, sheet open and close, tab panel navigation, and modal dialog focus trapping and return.</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2.4.4 Link Purpose (In Context)</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Links describe their destination via visible text. Icon-only navigation links and action buttons carry aria-label describing the destination or action. "Learn more" links include surrounding context sufficient to identify the destination.</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2.4.5 Multiple Ways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Navigation is available via the sidebar (hierarchical by HQ brand), Universal Search (platform-wide keyword search across entities), Knowledge Base (KB articles with page-context-map wiring), direct URL entry, and the marketing sitemap at /sitemap.xml.</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2.4.6 Headings and Labels</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One h1 per page, rendered by HqPageHeader or HqPageHeaderWithNav. No skipped heading levels (h1 to h3) across dashboard pages, verified via grep-based audit in WCAG-3. Tab panel content starts at h2 since the page-level h1 is already present. Form labels describe the field purpose.</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2.4.7 Focus Visible</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All interactive elements display a visible focus indicator using the --ring CSS variable. Shadcn components use ring-2 ring-ring ring-offset-2 on focus. Custom components inherit focus-visible styles from the global CSS.</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2.4.11 Focus Not Obscured (Minimum)</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Focused elements are not fully obscured by sticky headers, cookie banners, or other persistent overlays. Scroll-padding in the root layout ensures focused elements remain in the viewport when scrolled into view. New in WCAG 2.2.</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2.5.1 Pointer Gestures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All functionality is operable with a single-point input. Multi-point gestures are not required. Drag interactions in the Mission Control widget grid are the exception noted under SC 2.1.1 and 2.5.7.</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2.5.2 Pointer Cancellation</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Click actions activate on the up-event, allowing users to abort an action by dragging off the target before releasing. Standard browser behavior is preserved across all custom components.</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2.5.3 Label in Name</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Visible button text, link text, and input labels match the accessible name programmatically associated with the element.</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2.5.4 Motion Actuation</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 does not use device motion or user motion to trigger functionality.</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2.5.7 Dragging Movements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bCs/>
                <w:color w:val="B45309"/>
                <w:sz w:val="20"/>
                <w:szCs w:val="20"/>
              </w:rPr>
              <w:t xml:space="preserve">Partially 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Most drag operations in the platform have keyboard or button-based alternatives (e.g., reordering list items via up/down buttons). Exception: Mission Control widget grid (react-grid-layout) requires pointer drag for repositioning and provides no single-pointer or keyboard alternative. This is a third-party library constraint documented in the Accessibility Guide. New in WCAG 2.2.</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2.5.8 Target Size (Minimum)</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Interactive elements meet the 24x24 CSS pixel minimum. Primary touch targets use min-h-11 (44px) on mobile per the platform convention documented in docs/conventions/accessibility.md. Inline text links are exempt per the WCAG 2.2 exception. New in WCAG 2.2.</w:t>
            </w:r>
          </w:p>
        </w:tc>
      </w:tr>
      <w:tr>
        <w:tc>
          <w:tcPr>
            <w:tcW w:type="dxa" w:w="9360"/>
            <w:gridSpan w:val="4"/>
            <w:tcBorders>
              <w:top w:val="single" w:color="CBD5E1" w:sz="4"/>
              <w:left w:val="single" w:color="CBD5E1" w:sz="4"/>
              <w:bottom w:val="single" w:color="CBD5E1" w:sz="4"/>
              <w:right w:val="single" w:color="CBD5E1" w:sz="4"/>
            </w:tcBorders>
            <w:shd w:fill="E2E8F0" w:val="clear"/>
            <w:tcMar>
              <w:top w:type="dxa" w:w="120"/>
              <w:left w:type="dxa" w:w="140"/>
              <w:bottom w:type="dxa" w:w="120"/>
              <w:right w:type="dxa" w:w="140"/>
            </w:tcMar>
          </w:tcPr>
          <w:p>
            <w:r>
              <w:rPr>
                <w:rFonts w:ascii="Arial" w:cs="Arial" w:eastAsia="Arial" w:hAnsi="Arial"/>
                <w:b/>
                <w:bCs/>
                <w:color w:val="0F172A"/>
                <w:sz w:val="24"/>
                <w:szCs w:val="24"/>
              </w:rPr>
              <w:t xml:space="preserve">Principle 3: Understandable</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3.1.1 Language of Page</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&lt;html lang="en"&gt; is set on the root layout, verified in WCAG-1 Step 5.</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3.1.2 Language of Parts</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Platform-authored content is in English. Any embedded content in other languages (e.g., user-authored content in a non-English language) should carry a lang attribute on the containing element; this guidance is documented in docs/conventions/accessibility.md.</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3.2.1 On Focus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Receiving focus does not trigger unexpected context changes, form submissions, or navigation.</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3.2.2 On Input</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Changing the value of a form input does not trigger unexpected context changes. Form submission requires explicit user action (a submit button or Enter key on the form).</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3.2.3 Consistent Navigation</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The sidebar navigation structure, HQ group hierarchy, and page header pattern are consistent across all dashboard pages. Navigation appears in the same relative order on every page.</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3.2.4 Consistent Identification</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Common actions use consistent iconography and labels throughout the platform. Delete, edit, publish, archive, and moderate actions use the same Lucide icon and accessible name everywhere they appear.</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3.2.6 Consistent Help</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The help mechanism (Ask Tappy sheet accessible via the persistent Tappy button, Knowledge Base search, and the feedback button) is available from every dashboard page in the same location. New in WCAG 2.2.</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3.3.1 Error Identification</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Form errors are identified in text adjacent to the invalid field and programmatically associated via aria-describedby. Shadcn FormField and FormMessage components handle this pattern automatically. Custom forms outside the Shadcn pattern were updated to use aria-describedby linkage in WCAG-2.</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3.3.2 Labels or Instructions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All form fields have visible labels. Required fields are marked with a visual indicator and an aria-required attribute. Complex fields include helper text describing the expected input format.</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3.3.3 Error Suggestion</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Validation errors include suggested corrections where the correction is unambiguous (e.g., "Email must include @", "Password must be at least 8 characters"). Zod validation error messages are curated for clarity.</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3.3.4 Error Prevention (Legal, Financial, Data)</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Financial transactions (Stripe Checkout) include a confirmation step before payment is submitted. Data deletion operations require a confirmation dialog. Form submissions can be reviewed before commit, and most critical operations support undo via soft-delete.</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3.3.7 Redundant Entry</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Form data is auto-populated from user profile, org context, and previously submitted information where applicable. Multi-step wizards and onboarding flows avoid re-asking for previously provided information within the same session. New in WCAG 2.2.</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3.3.8 Accessible Authentication (Minimum)</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Authentication is handled by Clerk (third-party identity provider). Supported authentication methods include email magic link, password with password-manager-compatible autocomplete attributes (current-password, new-password), and Google OAuth. No cognitive function test (e.g., CAPTCHA image recognition) is required for account access. See the Third-Party Components section for Clerk's own accessibility conformance. New in WCAG 2.2.</w:t>
            </w:r>
          </w:p>
        </w:tc>
      </w:tr>
      <w:tr>
        <w:tc>
          <w:tcPr>
            <w:tcW w:type="dxa" w:w="9360"/>
            <w:gridSpan w:val="4"/>
            <w:tcBorders>
              <w:top w:val="single" w:color="CBD5E1" w:sz="4"/>
              <w:left w:val="single" w:color="CBD5E1" w:sz="4"/>
              <w:bottom w:val="single" w:color="CBD5E1" w:sz="4"/>
              <w:right w:val="single" w:color="CBD5E1" w:sz="4"/>
            </w:tcBorders>
            <w:shd w:fill="E2E8F0" w:val="clear"/>
            <w:tcMar>
              <w:top w:type="dxa" w:w="120"/>
              <w:left w:type="dxa" w:w="140"/>
              <w:bottom w:type="dxa" w:w="120"/>
              <w:right w:type="dxa" w:w="140"/>
            </w:tcMar>
          </w:tcPr>
          <w:p>
            <w:r>
              <w:rPr>
                <w:rFonts w:ascii="Arial" w:cs="Arial" w:eastAsia="Arial" w:hAnsi="Arial"/>
                <w:b/>
                <w:bCs/>
                <w:color w:val="0F172A"/>
                <w:sz w:val="24"/>
                <w:szCs w:val="24"/>
              </w:rPr>
              <w:t xml:space="preserve">Principle 4: Robust</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4.1.1 Parsing</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64748B"/>
                <w:sz w:val="20"/>
                <w:szCs w:val="20"/>
              </w:rPr>
              <w:t xml:space="preserve">Obsolete in WCAG 2.2</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This success criterion was marked obsolete in WCAG 2.2 and is no longer required for evaluation. Platform uses valid HTML5 through React's rendering pipeline.</w:t>
            </w:r>
          </w:p>
        </w:tc>
      </w:tr>
      <w:tr>
        <w:tc>
          <w:tcPr>
            <w:tcW w:type="dxa" w:w="24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sz w:val="20"/>
                <w:szCs w:val="20"/>
              </w:rPr>
              <w:t xml:space="preserve">4.1.2 Name, Role, Value</w:t>
            </w:r>
          </w:p>
        </w:tc>
        <w:tc>
          <w:tcPr>
            <w:tcW w:type="dxa" w:w="9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center"/>
            </w:pPr>
            <w:r>
              <w:rPr>
                <w:rFonts w:ascii="Arial" w:cs="Arial" w:eastAsia="Arial" w:hAnsi="Arial"/>
                <w:b/>
                <w:bCs/>
                <w:sz w:val="20"/>
                <w:szCs w:val="20"/>
              </w:rPr>
              <w:t xml:space="preserve">A</w:t>
            </w:r>
          </w:p>
        </w:tc>
        <w:tc>
          <w:tcPr>
            <w:tcW w:type="dxa" w:w="170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shd w:fill="F8FAFC" w:val="clear"/>
            <w:tcMar>
              <w:top w:type="dxa" w:w="100"/>
              <w:left w:type="dxa" w:w="140"/>
              <w:bottom w:type="dxa" w:w="100"/>
              <w:right w:type="dxa" w:w="140"/>
            </w:tcMar>
            <w:vAlign w:val="top"/>
          </w:tcPr>
          <w:p>
            <w:pPr>
              <w:spacing w:after="0" w:before="0"/>
            </w:pPr>
            <w:r>
              <w:rPr>
                <w:rFonts w:ascii="Arial" w:cs="Arial" w:eastAsia="Arial" w:hAnsi="Arial"/>
                <w:sz w:val="20"/>
                <w:szCs w:val="20"/>
              </w:rPr>
              <w:t xml:space="preserve">Interactive components use semantic HTML or appropriate ARIA roles. Custom components (dialogs, sheets, tabs, menus) are built on base-ui primitives (via Shadcn v4) which expose correct role, name, and value to assistive technology. State changes are communicated via aria-expanded, aria-selected, aria-current, aria-pressed, and aria-checked as appropriate.</w:t>
            </w:r>
          </w:p>
        </w:tc>
      </w:tr>
      <w:tr>
        <w:tc>
          <w:tcPr>
            <w:tcW w:type="dxa" w:w="24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sz w:val="20"/>
                <w:szCs w:val="20"/>
              </w:rPr>
              <w:t xml:space="preserve">4.1.3 Status Messages</w:t>
            </w:r>
          </w:p>
        </w:tc>
        <w:tc>
          <w:tcPr>
            <w:tcW w:type="dxa" w:w="9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center"/>
            </w:pPr>
            <w:r>
              <w:rPr>
                <w:rFonts w:ascii="Arial" w:cs="Arial" w:eastAsia="Arial" w:hAnsi="Arial"/>
                <w:b/>
                <w:bCs/>
                <w:sz w:val="20"/>
                <w:szCs w:val="20"/>
              </w:rPr>
              <w:t xml:space="preserve">AA</w:t>
            </w:r>
          </w:p>
        </w:tc>
        <w:tc>
          <w:tcPr>
            <w:tcW w:type="dxa" w:w="170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jc w:val="left"/>
            </w:pPr>
            <w:r>
              <w:rPr>
                <w:rFonts w:ascii="Arial" w:cs="Arial" w:eastAsia="Arial" w:hAnsi="Arial"/>
                <w:b w:val="false"/>
                <w:bCs w:val="false"/>
                <w:color w:val="0F172A"/>
                <w:sz w:val="20"/>
                <w:szCs w:val="20"/>
              </w:rPr>
              <w:t xml:space="preserve">Supports</w:t>
            </w:r>
          </w:p>
        </w:tc>
        <w:tc>
          <w:tcPr>
            <w:tcW w:type="dxa" w:w="20"/>
            <w:tcBorders>
              <w:top w:val="single" w:color="CBD5E1" w:sz="4"/>
              <w:left w:val="single" w:color="CBD5E1" w:sz="4"/>
              <w:bottom w:val="single" w:color="CBD5E1" w:sz="4"/>
              <w:right w:val="single" w:color="CBD5E1" w:sz="4"/>
            </w:tcBorders>
            <w:tcMar>
              <w:top w:type="dxa" w:w="100"/>
              <w:left w:type="dxa" w:w="140"/>
              <w:bottom w:type="dxa" w:w="100"/>
              <w:right w:type="dxa" w:w="140"/>
            </w:tcMar>
            <w:vAlign w:val="top"/>
          </w:tcPr>
          <w:p>
            <w:pPr>
              <w:spacing w:after="0" w:before="0"/>
            </w:pPr>
            <w:r>
              <w:rPr>
                <w:rFonts w:ascii="Arial" w:cs="Arial" w:eastAsia="Arial" w:hAnsi="Arial"/>
                <w:sz w:val="20"/>
                <w:szCs w:val="20"/>
              </w:rPr>
              <w:t xml:space="preserve">Toast notifications use role="status" for info and success, and role="alert" for errors (the Sonner toast library applies aria-live="polite" natively on the container). The Ask Tappy response container uses aria-live="polite" so screen readers announce streaming AI responses. AI generation loading states wrap their indicator in a role="status" container with aria-live="polite".</w:t>
            </w:r>
          </w:p>
        </w:tc>
      </w:tr>
    </w:tbl>
    <w:p>
      <w:r>
        <w:br w:type="page"/>
      </w:r>
    </w:p>
    <w:p>
      <w:pPr>
        <w:pStyle w:val="Heading1"/>
        <w:spacing w:after="180" w:before="360"/>
      </w:pPr>
      <w:r>
        <w:rPr>
          <w:rFonts w:ascii="Arial" w:cs="Arial" w:eastAsia="Arial" w:hAnsi="Arial"/>
          <w:b/>
          <w:bCs/>
          <w:color w:val="2563EB"/>
          <w:sz w:val="36"/>
          <w:szCs w:val="36"/>
        </w:rPr>
        <w:t xml:space="preserve">6. Known Limitations</w:t>
      </w:r>
    </w:p>
    <w:p>
      <w:pPr>
        <w:spacing w:after="60" w:before="60"/>
      </w:pPr>
      <w:r>
        <w:rPr>
          <w:rFonts w:ascii="Arial" w:cs="Arial" w:eastAsia="Arial" w:hAnsi="Arial"/>
          <w:sz w:val="22"/>
          <w:szCs w:val="22"/>
        </w:rPr>
        <w:t xml:space="preserve">The following limitations are documented transparently for procurement teams evaluating TappHQ. None are considered blockers to standard platform use by assistive-technology users, but they are noted here so purchasers can assess fit for their own accessibility obligations.</w:t>
      </w:r>
    </w:p>
    <w:p>
      <w:pPr>
        <w:pStyle w:val="Heading2"/>
        <w:spacing w:after="120" w:before="240"/>
      </w:pPr>
      <w:r>
        <w:rPr>
          <w:rFonts w:ascii="Arial" w:cs="Arial" w:eastAsia="Arial" w:hAnsi="Arial"/>
          <w:b/>
          <w:bCs/>
          <w:color w:val="0F172A"/>
          <w:sz w:val="28"/>
          <w:szCs w:val="28"/>
        </w:rPr>
        <w:t xml:space="preserve">6.1 React Flow (Agent Builder, Workflow Builder, Logic Model Editor)</w:t>
      </w:r>
    </w:p>
    <w:p>
      <w:pPr>
        <w:spacing w:after="60" w:before="60"/>
      </w:pPr>
      <w:r>
        <w:rPr>
          <w:rFonts w:ascii="Arial" w:cs="Arial" w:eastAsia="Arial" w:hAnsi="Arial"/>
          <w:sz w:val="22"/>
          <w:szCs w:val="22"/>
        </w:rPr>
        <w:t xml:space="preserve">Three platform features use React Flow, a third-party canvas library for node-based graph editing: the Agent Builder (AgentHQ), the Workflow Builder (AgentHQ), and the Logic Model Editor (GrantsHQ). Each canvas is focusable with tabIndex=0 and carries an aria-label describing its purpose. Node-level keyboard navigation is limited to React Flow's built-in support (selection via click and arrow-key movement of selected nodes in some library versions). Custom keyboard-based node creation, connection drawing, and property editing were intentionally not implemented; full keyboard parity would require substantial library forks. Affected criterion: SC 2.1.1 (Partially Supports).</w:t>
      </w:r>
    </w:p>
    <w:p>
      <w:pPr>
        <w:pStyle w:val="Heading2"/>
        <w:spacing w:after="120" w:before="240"/>
      </w:pPr>
      <w:r>
        <w:rPr>
          <w:rFonts w:ascii="Arial" w:cs="Arial" w:eastAsia="Arial" w:hAnsi="Arial"/>
          <w:b/>
          <w:bCs/>
          <w:color w:val="0F172A"/>
          <w:sz w:val="28"/>
          <w:szCs w:val="28"/>
        </w:rPr>
        <w:t xml:space="preserve">6.2 react-grid-layout (Mission Control)</w:t>
      </w:r>
    </w:p>
    <w:p>
      <w:pPr>
        <w:spacing w:after="60" w:before="60"/>
      </w:pPr>
      <w:r>
        <w:rPr>
          <w:rFonts w:ascii="Arial" w:cs="Arial" w:eastAsia="Arial" w:hAnsi="Arial"/>
          <w:sz w:val="22"/>
          <w:szCs w:val="22"/>
        </w:rPr>
        <w:t xml:space="preserve">Mission Control uses react-grid-layout for a drag-to-reorder widget grid. Each widget card is focusable and carries an aria-label identifying the widget. Drag-based repositioning requires pointer input; the library does not expose a keyboard alternative for grid reordering. Users who cannot operate a pointer can still view all widgets and interact with their controls; they cannot reposition widgets on the grid. Affected criteria: SC 2.1.1 (Partially Supports), SC 2.5.7 (Partially Supports).</w:t>
      </w:r>
    </w:p>
    <w:p>
      <w:pPr>
        <w:pStyle w:val="Heading2"/>
        <w:spacing w:after="120" w:before="240"/>
      </w:pPr>
      <w:r>
        <w:rPr>
          <w:rFonts w:ascii="Arial" w:cs="Arial" w:eastAsia="Arial" w:hAnsi="Arial"/>
          <w:b/>
          <w:bCs/>
          <w:color w:val="0F172A"/>
          <w:sz w:val="28"/>
          <w:szCs w:val="28"/>
        </w:rPr>
        <w:t xml:space="preserve">6.3 Third-Party Embedded Components</w:t>
      </w:r>
    </w:p>
    <w:p>
      <w:pPr>
        <w:spacing w:after="60" w:before="60"/>
      </w:pPr>
      <w:r>
        <w:rPr>
          <w:rFonts w:ascii="Arial" w:cs="Arial" w:eastAsia="Arial" w:hAnsi="Arial"/>
          <w:sz w:val="22"/>
          <w:szCs w:val="22"/>
        </w:rPr>
        <w:t xml:space="preserve">The platform embeds the following third-party components. Their accessibility conformance is the responsibility of the respective vendors, and their conformance is not re-evaluated in this report.</w:t>
      </w:r>
    </w:p>
    <w:p>
      <w:pPr>
        <w:spacing w:after="60" w:before="60"/>
      </w:pPr>
      <w:r>
        <w:rPr>
          <w:rFonts w:ascii="Arial" w:cs="Arial" w:eastAsia="Arial" w:hAnsi="Arial"/>
          <w:sz w:val="22"/>
          <w:szCs w:val="22"/>
        </w:rPr>
        <w:t xml:space="preserve">Clerk (authentication flows): Clerk publishes its own accessibility documentation. TappHQ configures Clerk to use email magic links and Google OAuth, avoiding cognitive-function authentication tests. See Clerk's own conformance documentation for the embedded auth UI.</w:t>
      </w:r>
    </w:p>
    <w:p>
      <w:pPr>
        <w:spacing w:after="60" w:before="60"/>
      </w:pPr>
      <w:r>
        <w:rPr>
          <w:rFonts w:ascii="Arial" w:cs="Arial" w:eastAsia="Arial" w:hAnsi="Arial"/>
          <w:sz w:val="22"/>
          <w:szCs w:val="22"/>
        </w:rPr>
        <w:t xml:space="preserve">Stripe (checkout, billing portal): Stripe embedded checkout and the billing customer portal are third-party UIs rendered inside TappHQ. Stripe publishes its own VPAT covering these components.</w:t>
      </w:r>
    </w:p>
    <w:p>
      <w:pPr>
        <w:spacing w:after="60" w:before="60"/>
      </w:pPr>
      <w:r>
        <w:rPr>
          <w:rFonts w:ascii="Arial" w:cs="Arial" w:eastAsia="Arial" w:hAnsi="Arial"/>
          <w:sz w:val="22"/>
          <w:szCs w:val="22"/>
        </w:rPr>
        <w:t xml:space="preserve">Recharts (chart rendering): Charts rendered via Recharts are supplemented with data tables for non-visual access where charts convey critical information. Chart accessibility is constrained by the underlying SVG rendering approach of the library.</w:t>
      </w:r>
    </w:p>
    <w:p>
      <w:pPr>
        <w:pStyle w:val="Heading2"/>
        <w:spacing w:after="120" w:before="240"/>
      </w:pPr>
      <w:r>
        <w:rPr>
          <w:rFonts w:ascii="Arial" w:cs="Arial" w:eastAsia="Arial" w:hAnsi="Arial"/>
          <w:b/>
          <w:bCs/>
          <w:color w:val="0F172A"/>
          <w:sz w:val="28"/>
          <w:szCs w:val="28"/>
        </w:rPr>
        <w:t xml:space="preserve">6.4 User-Uploaded Content</w:t>
      </w:r>
    </w:p>
    <w:p>
      <w:pPr>
        <w:spacing w:after="60" w:before="60"/>
      </w:pPr>
      <w:r>
        <w:rPr>
          <w:rFonts w:ascii="Arial" w:cs="Arial" w:eastAsia="Arial" w:hAnsi="Arial"/>
          <w:sz w:val="22"/>
          <w:szCs w:val="22"/>
        </w:rPr>
        <w:t xml:space="preserve">Content uploaded by customer organizations (to the Brand Library, Content Studio, LMS course content, the Wiki, and other user-facing content surfaces) is the responsibility of the uploading organization. Platform features that accept uploads include alt-text fields for images, caption fields for video where applicable, and heading structure guidance in the rich-text editor. Whether customer organizations populate these fields correctly is outside platform control.</w:t>
      </w:r>
    </w:p>
    <w:p>
      <w:pPr>
        <w:pStyle w:val="Heading1"/>
        <w:spacing w:after="180" w:before="360"/>
      </w:pPr>
      <w:r>
        <w:rPr>
          <w:rFonts w:ascii="Arial" w:cs="Arial" w:eastAsia="Arial" w:hAnsi="Arial"/>
          <w:b/>
          <w:bCs/>
          <w:color w:val="2563EB"/>
          <w:sz w:val="36"/>
          <w:szCs w:val="36"/>
        </w:rPr>
        <w:t xml:space="preserve">7. Assessment Approach</w:t>
      </w:r>
    </w:p>
    <w:p>
      <w:pPr>
        <w:spacing w:after="60" w:before="60"/>
      </w:pPr>
      <w:r>
        <w:rPr>
          <w:rFonts w:ascii="Arial" w:cs="Arial" w:eastAsia="Arial" w:hAnsi="Arial"/>
          <w:sz w:val="22"/>
          <w:szCs w:val="22"/>
        </w:rPr>
        <w:t xml:space="preserve">The assessment combines four evaluation methods:</w:t>
      </w:r>
    </w:p>
    <w:p>
      <w:pPr>
        <w:pStyle w:val="ListParagraph"/>
        <w:numPr>
          <w:ilvl w:val="0"/>
          <w:numId w:val="2"/>
        </w:numPr>
        <w:spacing w:after="40" w:before="40"/>
      </w:pPr>
      <w:r>
        <w:rPr>
          <w:rFonts w:ascii="Arial" w:cs="Arial" w:eastAsia="Arial" w:hAnsi="Arial"/>
          <w:sz w:val="22"/>
          <w:szCs w:val="22"/>
        </w:rPr>
        <w:t xml:space="preserve">Automated Vitest component-level accessibility tests using jest-axe, covering Button, Table, Dialog, Form, Heading, and Image primitives. These tests run on every pull request in the shared CI test workspace.</w:t>
      </w:r>
    </w:p>
    <w:p>
      <w:pPr>
        <w:pStyle w:val="ListParagraph"/>
        <w:numPr>
          <w:ilvl w:val="0"/>
          <w:numId w:val="2"/>
        </w:numPr>
        <w:spacing w:after="40" w:before="40"/>
      </w:pPr>
      <w:r>
        <w:rPr>
          <w:rFonts w:ascii="Arial" w:cs="Arial" w:eastAsia="Arial" w:hAnsi="Arial"/>
          <w:sz w:val="22"/>
          <w:szCs w:val="22"/>
        </w:rPr>
        <w:t xml:space="preserve">Automated Playwright axe-core end-to-end accessibility tests, covering marketing pages, dashboard pages, and key flows. These were run before WCAG-1 to establish a baseline, and after WCAG-4 to confirm improvement.</w:t>
      </w:r>
    </w:p>
    <w:p>
      <w:pPr>
        <w:pStyle w:val="ListParagraph"/>
        <w:numPr>
          <w:ilvl w:val="0"/>
          <w:numId w:val="2"/>
        </w:numPr>
        <w:spacing w:after="40" w:before="40"/>
      </w:pPr>
      <w:r>
        <w:rPr>
          <w:rFonts w:ascii="Arial" w:cs="Arial" w:eastAsia="Arial" w:hAnsi="Arial"/>
          <w:sz w:val="22"/>
          <w:szCs w:val="22"/>
        </w:rPr>
        <w:t xml:space="preserve">Manual heading-hierarchy audit via grep-based review of h1 through h4 usage across all dashboard pages (WCAG-3).</w:t>
      </w:r>
    </w:p>
    <w:p>
      <w:pPr>
        <w:pStyle w:val="ListParagraph"/>
        <w:numPr>
          <w:ilvl w:val="0"/>
          <w:numId w:val="2"/>
        </w:numPr>
        <w:spacing w:after="40" w:before="40"/>
      </w:pPr>
      <w:r>
        <w:rPr>
          <w:rFonts w:ascii="Arial" w:cs="Arial" w:eastAsia="Arial" w:hAnsi="Arial"/>
          <w:sz w:val="22"/>
          <w:szCs w:val="22"/>
        </w:rPr>
        <w:t xml:space="preserve">Manual keyboard-navigation verification for React Flow canvases, react-grid-layout widget grids, multi-step wizards, and tooltip/popover behavior (WCAG-3).</w:t>
      </w:r>
    </w:p>
    <w:p>
      <w:pPr>
        <w:spacing w:after="60" w:before="60"/>
      </w:pPr>
      <w:r>
        <w:rPr>
          <w:rFonts w:ascii="Arial" w:cs="Arial" w:eastAsia="Arial" w:hAnsi="Arial"/>
          <w:sz w:val="22"/>
          <w:szCs w:val="22"/>
        </w:rPr>
        <w:t xml:space="preserve">Ongoing conformance is enforced by three mechanisms:</w:t>
      </w:r>
    </w:p>
    <w:p>
      <w:pPr>
        <w:pStyle w:val="ListParagraph"/>
        <w:numPr>
          <w:ilvl w:val="0"/>
          <w:numId w:val="2"/>
        </w:numPr>
        <w:spacing w:after="40" w:before="40"/>
      </w:pPr>
      <w:r>
        <w:rPr>
          <w:rFonts w:ascii="Arial" w:cs="Arial" w:eastAsia="Arial" w:hAnsi="Arial"/>
          <w:sz w:val="22"/>
          <w:szCs w:val="22"/>
        </w:rPr>
        <w:t xml:space="preserve">The accessibility-guardian agent runs on every modified .tsx file at commit time, blocking commits that introduce icon-only buttons without aria-label, decorative icons without aria-hidden, tables without aria-label or scope, heading-hierarchy skips, or images without alt text.</w:t>
      </w:r>
    </w:p>
    <w:p>
      <w:pPr>
        <w:pStyle w:val="ListParagraph"/>
        <w:numPr>
          <w:ilvl w:val="0"/>
          <w:numId w:val="2"/>
        </w:numPr>
        <w:spacing w:after="40" w:before="40"/>
      </w:pPr>
      <w:r>
        <w:rPr>
          <w:rFonts w:ascii="Arial" w:cs="Arial" w:eastAsia="Arial" w:hAnsi="Arial"/>
          <w:sz w:val="22"/>
          <w:szCs w:val="22"/>
        </w:rPr>
        <w:t xml:space="preserve">The Vitest jest-axe component tests prevent accessibility regressions in shared components.</w:t>
      </w:r>
    </w:p>
    <w:p>
      <w:pPr>
        <w:pStyle w:val="ListParagraph"/>
        <w:numPr>
          <w:ilvl w:val="0"/>
          <w:numId w:val="2"/>
        </w:numPr>
        <w:spacing w:after="40" w:before="40"/>
      </w:pPr>
      <w:r>
        <w:rPr>
          <w:rFonts w:ascii="Arial" w:cs="Arial" w:eastAsia="Arial" w:hAnsi="Arial"/>
          <w:sz w:val="22"/>
          <w:szCs w:val="22"/>
        </w:rPr>
        <w:t xml:space="preserve">The canonical accessibility conventions are documented in docs/conventions/accessibility.md, referenced from docs/STYLE_GUIDE.md and docs/conventions/ui-components.md.</w:t>
      </w:r>
    </w:p>
    <w:p>
      <w:pPr>
        <w:pStyle w:val="Heading1"/>
        <w:spacing w:after="180" w:before="360"/>
      </w:pPr>
      <w:r>
        <w:rPr>
          <w:rFonts w:ascii="Arial" w:cs="Arial" w:eastAsia="Arial" w:hAnsi="Arial"/>
          <w:b/>
          <w:bCs/>
          <w:color w:val="2563EB"/>
          <w:sz w:val="36"/>
          <w:szCs w:val="36"/>
        </w:rPr>
        <w:t xml:space="preserve">8. Feedback and Contact</w:t>
      </w:r>
    </w:p>
    <w:p>
      <w:pPr>
        <w:spacing w:after="60" w:before="60"/>
      </w:pPr>
      <w:r>
        <w:rPr>
          <w:rFonts w:ascii="Arial" w:cs="Arial" w:eastAsia="Arial" w:hAnsi="Arial"/>
          <w:sz w:val="22"/>
          <w:szCs w:val="22"/>
        </w:rPr>
        <w:t xml:space="preserve">Tapp Network welcomes feedback on the accessibility of TappHQ. If you encounter an accessibility barrier or have a suggestion for improvement, contact us at compliance@tapphq.com. We aim to acknowledge accessibility reports within three business days and to plan remediation work within the normal platform development cycle.</w:t>
      </w:r>
    </w:p>
    <w:p>
      <w:pPr>
        <w:spacing w:after="60" w:before="60"/>
      </w:pPr>
      <w:r>
        <w:rPr>
          <w:rFonts w:ascii="Arial" w:cs="Arial" w:eastAsia="Arial" w:hAnsi="Arial"/>
          <w:sz w:val="22"/>
          <w:szCs w:val="22"/>
        </w:rPr>
        <w:t xml:space="preserve">Customers on paid plans may submit accessibility defect reports through the standard support channel, which tracks issues with the same process as any other defect.</w:t>
      </w:r>
    </w:p>
    <w:p>
      <w:pPr>
        <w:pStyle w:val="Heading1"/>
        <w:spacing w:after="180" w:before="360"/>
      </w:pPr>
      <w:r>
        <w:rPr>
          <w:rFonts w:ascii="Arial" w:cs="Arial" w:eastAsia="Arial" w:hAnsi="Arial"/>
          <w:b/>
          <w:bCs/>
          <w:color w:val="2563EB"/>
          <w:sz w:val="36"/>
          <w:szCs w:val="36"/>
        </w:rPr>
        <w:t xml:space="preserve">9. Legal Disclaimer</w:t>
      </w:r>
    </w:p>
    <w:p>
      <w:pPr>
        <w:spacing w:after="60" w:before="60"/>
      </w:pPr>
      <w:r>
        <w:rPr>
          <w:rFonts w:ascii="Arial" w:cs="Arial" w:eastAsia="Arial" w:hAnsi="Arial"/>
          <w:i/>
          <w:iCs/>
          <w:sz w:val="22"/>
          <w:szCs w:val="22"/>
        </w:rPr>
        <w:t xml:space="preserve">This VPAT is provided by Tapp Network in good faith to describe the accessibility conformance of the TappHQ platform at the date of reporting. It does not constitute a legal opinion, a warranty of fitness for any particular accessibility standard, a binding contractual commitment, or a substitute for independent accessibility review. Conformance is subject to change as the platform evolves. Readers are responsible for their own accessibility compliance obligations under applicable law.</w:t>
      </w:r>
    </w:p>
    <w:p>
      <w:pPr>
        <w:spacing w:after="60" w:before="60"/>
      </w:pPr>
      <w:r>
        <w:rPr>
          <w:rFonts w:ascii="Arial" w:cs="Arial" w:eastAsia="Arial" w:hAnsi="Arial"/>
          <w:i/>
          <w:iCs/>
          <w:sz w:val="22"/>
          <w:szCs w:val="22"/>
        </w:rPr>
        <w:t xml:space="preserve">The VPAT 2.5 format is published by the Information Technology Industry Council (ITI) and is used under the terms of the ITI VPAT license.</w:t>
      </w:r>
    </w:p>
    <w:p>
      <w:pPr>
        <w:spacing w:before="240"/>
      </w:pPr>
      <w:r>
        <w:t xml:space="preserve"/>
      </w:r>
    </w:p>
    <w:p>
      <w:pPr>
        <w:spacing w:after="60" w:before="60"/>
        <w:jc w:val="center"/>
      </w:pPr>
      <w:r>
        <w:rPr>
          <w:rFonts w:ascii="Arial" w:cs="Arial" w:eastAsia="Arial" w:hAnsi="Arial"/>
          <w:color w:val="64748B"/>
          <w:sz w:val="22"/>
          <w:szCs w:val="22"/>
        </w:rPr>
        <w:t xml:space="preserve">End of report.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Arial" w:cs="Arial" w:eastAsia="Arial" w:hAnsi="Arial"/>
        <w:color w:val="64748B"/>
        <w:sz w:val="18"/>
        <w:szCs w:val="18"/>
      </w:rPr>
      <w:t xml:space="preserve">Tapp Network — TappHQ VPAT 2.5 WCAG Edition</w:t>
    </w:r>
    <w:r>
      <w:rPr>
        <w:rFonts w:ascii="Arial" w:cs="Arial" w:eastAsia="Arial" w:hAnsi="Arial"/>
        <w:color w:val="64748B"/>
        <w:sz w:val="18"/>
        <w:szCs w:val="18"/>
      </w:rPr>
      <w:t xml:space="preserve">	Page </w:t>
    </w:r>
    <w:r>
      <w:rPr>
        <w:rFonts w:ascii="Arial" w:cs="Arial" w:eastAsia="Arial" w:hAnsi="Arial"/>
        <w:color w:val="64748B"/>
        <w:sz w:val="18"/>
        <w:szCs w:val="18"/>
      </w:rPr>
      <w:fldChar w:fldCharType="begin"/>
      <w:instrText xml:space="preserve">PAGE</w:instrText>
      <w:fldChar w:fldCharType="separate"/>
      <w:fldChar w:fldCharType="end"/>
    </w:r>
    <w:r>
      <w:rPr>
        <w:rFonts w:ascii="Arial" w:cs="Arial" w:eastAsia="Arial" w:hAnsi="Arial"/>
        <w:color w:val="64748B"/>
        <w:sz w:val="18"/>
        <w:szCs w:val="18"/>
      </w:rPr>
      <w:t xml:space="preserve"> of </w:t>
    </w:r>
    <w:r>
      <w:rPr>
        <w:rFonts w:ascii="Arial" w:cs="Arial" w:eastAsia="Arial" w:hAnsi="Arial"/>
        <w:color w:val="64748B"/>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Arial" w:cs="Arial" w:eastAsia="Arial" w:hAnsi="Arial"/>
        <w:color w:val="64748B"/>
        <w:sz w:val="18"/>
        <w:szCs w:val="18"/>
      </w:rPr>
      <w:t xml:space="preserve">TappHQ — Voluntary Product Accessibility Template (VPAT) 2.5</w:t>
    </w:r>
    <w:r>
      <w:rPr>
        <w:rFonts w:ascii="Arial" w:cs="Arial" w:eastAsia="Arial" w:hAnsi="Arial"/>
        <w:color w:val="64748B"/>
        <w:sz w:val="18"/>
        <w:szCs w:val="18"/>
      </w:rPr>
      <w:t xml:space="preserve">	April 16,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2563EB"/>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0F172A"/>
      <w:sz w:val="28"/>
      <w:szCs w:val="28"/>
    </w:rPr>
  </w:style>
  <w:style w:type="paragraph" w:styleId="Heading3">
    <w:name w:val="Heading 3"/>
    <w:basedOn w:val="Normal"/>
    <w:next w:val="Normal"/>
    <w:qFormat/>
    <w:pPr>
      <w:spacing w:after="90" w:before="180"/>
      <w:outlineLvl w:val="2"/>
    </w:pPr>
    <w:rPr>
      <w:rFonts w:ascii="Arial" w:cs="Arial" w:eastAsia="Arial" w:hAnsi="Arial"/>
      <w:b/>
      <w:bCs/>
      <w:color w:val="0F172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TappHQ VPAT 2.5 WCAG Edition</dc:title>
  <dc:creator>Tapp Network</dc:creator>
  <dc:description>Voluntary Product Accessibility Template for TappHQ</dc:description>
  <cp:lastModifiedBy>Un-named</cp:lastModifiedBy>
  <cp:revision>1</cp:revision>
  <dcterms:created xsi:type="dcterms:W3CDTF">2026-04-16T13:48:57.960Z</dcterms:created>
  <dcterms:modified xsi:type="dcterms:W3CDTF">2026-04-16T13:48:57.961Z</dcterms:modified>
</cp:coreProperties>
</file>

<file path=docProps/custom.xml><?xml version="1.0" encoding="utf-8"?>
<Properties xmlns="http://schemas.openxmlformats.org/officeDocument/2006/custom-properties" xmlns:vt="http://schemas.openxmlformats.org/officeDocument/2006/docPropsVTypes"/>
</file>